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prId0" 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body>
    <w:p>
      <w:pPr>
        <w:ind w:right="0" w:left="144" w:firstLine="0"/>
        <w:spacing w:before="0" w:after="0" w:line="240" w:lineRule="auto"/>
        <w:jc w:val="left"/>
        <w:pBdr>
          <w:top w:sz="4" w:space="7.2" w:color="#B97780" w:val="single"/>
          <w:left w:sz="4" w:space="7.2" w:color="#861C26" w:val="single"/>
          <w:bottom w:sz="4" w:space="7.2" w:color="#851D29" w:val="single"/>
          <w:right w:sz="4" w:space="0" w:color="#975E65" w:val="single"/>
        </w:pBdr>
        <w:rPr>
          <w:color w:val="#9B3D45"/>
          <w:sz w:val="8"/>
          <w:lang w:val="en-US"/>
          <w:spacing w:val="0"/>
          <w:w w:val="100"/>
          <w:strike w:val="false"/>
          <w:vertAlign w:val="baseline"/>
          <w:rFonts w:ascii="Arial" w:hAnsi="Arial"/>
        </w:rPr>
      </w:pPr>
      <w:r>
        <w:pict>
          <v:shapetype id="_x0000_t1" coordsize="21600,21600" o:spt="202" path="m,l,21600r21600,l21600,xe">
            <v:stroke joinstyle="miter"/>
            <v:path gradientshapeok="t" o:connecttype="rect"/>
          </v:shapetype>
          <v:shape id="_x0000_s0" type="#_x0000_t1" filled="f" strokecolor="#000000" stroked="f" style="position:absolute;width:202pt;height:3.55pt;z-index:-1000;margin-left:0pt;margin-top:321.3pt;mso-wrap-distance-left:0pt;mso-wrap-distance-right:0pt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1656" w:firstLine="0"/>
                    <w:spacing w:before="0" w:after="0" w:line="201" w:lineRule="auto"/>
                    <w:jc w:val="left"/>
                    <w:framePr w:hAnchor="text" w:vAnchor="text" w:y="6426" w:w="4040" w:h="71" w:hSpace="0" w:vSpace="0" w:wrap="3"/>
                    <w:rPr>
                      <w:color w:val="#9B3D45"/>
                      <w:sz w:val="7"/>
                      <w:lang w:val="en-US"/>
                      <w:spacing w:val="0"/>
                      <w:w w:val="100"/>
                      <w:strike w:val="false"/>
                      <w:vertAlign w:val="baseline"/>
                      <w:rFonts w:ascii="Tahoma" w:hAnsi="Tahoma"/>
                    </w:rPr>
                  </w:pPr>
                  <w:r>
                    <w:rPr>
                      <w:color w:val="#9B3D45"/>
                      <w:sz w:val="7"/>
                      <w:lang w:val="en-US"/>
                      <w:spacing w:val="0"/>
                      <w:w w:val="100"/>
                      <w:strike w:val="false"/>
                      <w:vertAlign w:val="baseline"/>
                      <w:rFonts w:ascii="Tahoma" w:hAnsi="Tahoma"/>
                    </w:rPr>
                    <w:t xml:space="preserve">51</w:t>
                  </w:r>
                </w:p>
              </w:txbxContent>
            </v:textbox>
          </v:shape>
        </w:pict>
      </w:r>
      <w:r>
        <w:rPr>
          <w:color w:val="#9B3D45"/>
          <w:sz w:val="8"/>
          <w:lang w:val="en-US"/>
          <w:spacing w:val="0"/>
          <w:w w:val="100"/>
          <w:strike w:val="false"/>
          <w:vertAlign w:val="baseline"/>
          <w:rFonts w:ascii="Arial" w:hAnsi="Arial"/>
        </w:rPr>
        <w:t xml:space="preserve">Box 7.4: sources of finance for NDPBs</w:t>
      </w:r>
    </w:p>
    <w:p>
      <w:pPr>
        <w:ind w:right="0" w:left="144" w:firstLine="0"/>
        <w:spacing w:before="72" w:after="0" w:line="240" w:lineRule="auto"/>
        <w:jc w:val="left"/>
        <w:tabs>
          <w:tab w:val="clear" w:pos="216"/>
          <w:tab w:val="decimal" w:pos="360"/>
        </w:tabs>
        <w:pBdr>
          <w:top w:sz="4" w:space="7.2" w:color="#B97780" w:val="single"/>
          <w:left w:sz="4" w:space="7.2" w:color="#861C26" w:val="single"/>
          <w:bottom w:sz="4" w:space="7.2" w:color="#851D29" w:val="single"/>
          <w:right w:sz="4" w:space="0" w:color="#975E65" w:val="single"/>
        </w:pBdr>
        <w:numPr>
          <w:ilvl w:val="0"/>
          <w:numId w:val="2"/>
        </w:numPr>
        <w:rPr>
          <w:color w:val="#000000"/>
          <w:sz w:val="9"/>
          <w:lang w:val="en-US"/>
          <w:spacing w:val="3"/>
          <w:w w:val="100"/>
          <w:strike w:val="false"/>
          <w:vertAlign w:val="baseline"/>
          <w:rFonts w:ascii="Tahoma" w:hAnsi="Tahoma"/>
        </w:rPr>
      </w:pPr>
      <w:r>
        <w:rPr>
          <w:color w:val="#000000"/>
          <w:sz w:val="9"/>
          <w:lang w:val="en-US"/>
          <w:spacing w:val="3"/>
          <w:w w:val="100"/>
          <w:strike w:val="false"/>
          <w:vertAlign w:val="baseline"/>
          <w:rFonts w:ascii="Tahoma" w:hAnsi="Tahoma"/>
        </w:rPr>
        <w:t xml:space="preserve">specific conditional grant(s) from the sponsor department (and/or other departments)</w:t>
      </w:r>
    </w:p>
    <w:p>
      <w:pPr>
        <w:ind w:right="0" w:left="144" w:firstLine="0"/>
        <w:spacing w:before="36" w:after="0" w:line="240" w:lineRule="auto"/>
        <w:jc w:val="left"/>
        <w:tabs>
          <w:tab w:val="clear" w:pos="216"/>
          <w:tab w:val="decimal" w:pos="360"/>
        </w:tabs>
        <w:pBdr>
          <w:top w:sz="4" w:space="7.2" w:color="#B97780" w:val="single"/>
          <w:left w:sz="4" w:space="7.2" w:color="#861C26" w:val="single"/>
          <w:bottom w:sz="4" w:space="7.2" w:color="#851D29" w:val="single"/>
          <w:right w:sz="4" w:space="0" w:color="#975E65" w:val="single"/>
        </w:pBdr>
        <w:numPr>
          <w:ilvl w:val="0"/>
          <w:numId w:val="2"/>
        </w:numPr>
        <w:rPr>
          <w:color w:val="#000000"/>
          <w:sz w:val="9"/>
          <w:lang w:val="en-US"/>
          <w:spacing w:val="3"/>
          <w:w w:val="100"/>
          <w:strike w:val="false"/>
          <w:vertAlign w:val="baseline"/>
          <w:rFonts w:ascii="Tahoma" w:hAnsi="Tahoma"/>
        </w:rPr>
      </w:pPr>
      <w:r>
        <w:rPr>
          <w:color w:val="#000000"/>
          <w:sz w:val="9"/>
          <w:lang w:val="en-US"/>
          <w:spacing w:val="3"/>
          <w:w w:val="100"/>
          <w:strike w:val="false"/>
          <w:vertAlign w:val="baseline"/>
          <w:rFonts w:ascii="Tahoma" w:hAnsi="Tahoma"/>
        </w:rPr>
        <w:t xml:space="preserve">general (less conditional) grant-in-aid from the sponsor department</w:t>
      </w:r>
    </w:p>
    <w:p>
      <w:pPr>
        <w:ind w:right="0" w:left="144" w:firstLine="0"/>
        <w:spacing w:before="36" w:after="0" w:line="240" w:lineRule="auto"/>
        <w:jc w:val="left"/>
        <w:tabs>
          <w:tab w:val="clear" w:pos="216"/>
          <w:tab w:val="decimal" w:pos="360"/>
        </w:tabs>
        <w:pBdr>
          <w:top w:sz="4" w:space="7.2" w:color="#B97780" w:val="single"/>
          <w:left w:sz="4" w:space="7.2" w:color="#861C26" w:val="single"/>
          <w:bottom w:sz="4" w:space="7.2" w:color="#851D29" w:val="single"/>
          <w:right w:sz="4" w:space="0" w:color="#975E65" w:val="single"/>
        </w:pBdr>
        <w:numPr>
          <w:ilvl w:val="0"/>
          <w:numId w:val="2"/>
        </w:numPr>
        <w:rPr>
          <w:color w:val="#000000"/>
          <w:sz w:val="9"/>
          <w:lang w:val="en-US"/>
          <w:spacing w:val="3"/>
          <w:w w:val="100"/>
          <w:strike w:val="false"/>
          <w:vertAlign w:val="baseline"/>
          <w:rFonts w:ascii="Tahoma" w:hAnsi="Tahoma"/>
        </w:rPr>
      </w:pPr>
      <w:r>
        <w:rPr>
          <w:color w:val="#000000"/>
          <w:sz w:val="9"/>
          <w:lang w:val="en-US"/>
          <w:spacing w:val="3"/>
          <w:w w:val="100"/>
          <w:strike w:val="false"/>
          <w:vertAlign w:val="baseline"/>
          <w:rFonts w:ascii="Tahoma" w:hAnsi="Tahoma"/>
        </w:rPr>
        <w:t xml:space="preserve">income from charges for any goods or services the NDPB may sell</w:t>
      </w:r>
    </w:p>
    <w:p>
      <w:pPr>
        <w:ind w:right="0" w:left="144" w:firstLine="0"/>
        <w:spacing w:before="36" w:after="0" w:line="240" w:lineRule="auto"/>
        <w:jc w:val="left"/>
        <w:tabs>
          <w:tab w:val="clear" w:pos="216"/>
          <w:tab w:val="decimal" w:pos="360"/>
        </w:tabs>
        <w:pBdr>
          <w:top w:sz="4" w:space="7.2" w:color="#B97780" w:val="single"/>
          <w:left w:sz="4" w:space="7.2" w:color="#861C26" w:val="single"/>
          <w:bottom w:sz="4" w:space="7.2" w:color="#851D29" w:val="single"/>
          <w:right w:sz="4" w:space="0" w:color="#975E65" w:val="single"/>
        </w:pBdr>
        <w:numPr>
          <w:ilvl w:val="0"/>
          <w:numId w:val="2"/>
        </w:numPr>
        <w:rPr>
          <w:color w:val="#000000"/>
          <w:sz w:val="9"/>
          <w:lang w:val="en-US"/>
          <w:spacing w:val="4"/>
          <w:w w:val="100"/>
          <w:strike w:val="false"/>
          <w:vertAlign w:val="baseline"/>
          <w:rFonts w:ascii="Tahoma" w:hAnsi="Tahoma"/>
        </w:rPr>
      </w:pPr>
      <w:r>
        <w:rPr>
          <w:color w:val="#000000"/>
          <w:sz w:val="9"/>
          <w:lang w:val="en-US"/>
          <w:spacing w:val="4"/>
          <w:w w:val="100"/>
          <w:strike w:val="false"/>
          <w:vertAlign w:val="baseline"/>
          <w:rFonts w:ascii="Tahoma" w:hAnsi="Tahoma"/>
        </w:rPr>
        <w:t xml:space="preserve">income from other dedicated sources, eg lottery funding</w:t>
      </w:r>
    </w:p>
    <w:p>
      <w:pPr>
        <w:ind w:right="0" w:left="144" w:firstLine="0"/>
        <w:spacing w:before="36" w:after="0" w:line="240" w:lineRule="auto"/>
        <w:jc w:val="left"/>
        <w:tabs>
          <w:tab w:val="clear" w:pos="216"/>
          <w:tab w:val="decimal" w:pos="360"/>
        </w:tabs>
        <w:pBdr>
          <w:top w:sz="4" w:space="7.2" w:color="#B97780" w:val="single"/>
          <w:left w:sz="4" w:space="7.2" w:color="#861C26" w:val="single"/>
          <w:bottom w:sz="4" w:space="7.2" w:color="#851D29" w:val="single"/>
          <w:right w:sz="4" w:space="0" w:color="#975E65" w:val="single"/>
        </w:pBdr>
        <w:numPr>
          <w:ilvl w:val="0"/>
          <w:numId w:val="2"/>
        </w:numPr>
        <w:rPr>
          <w:color w:val="#000000"/>
          <w:sz w:val="9"/>
          <w:lang w:val="en-US"/>
          <w:spacing w:val="9"/>
          <w:w w:val="100"/>
          <w:strike w:val="false"/>
          <w:vertAlign w:val="baseline"/>
          <w:rFonts w:ascii="Tahoma" w:hAnsi="Tahoma"/>
        </w:rPr>
      </w:pPr>
      <w:r>
        <w:rPr>
          <w:color w:val="#000000"/>
          <w:sz w:val="9"/>
          <w:lang w:val="en-US"/>
          <w:spacing w:val="9"/>
          <w:w w:val="100"/>
          <w:strike w:val="false"/>
          <w:vertAlign w:val="baseline"/>
          <w:rFonts w:ascii="Tahoma" w:hAnsi="Tahoma"/>
        </w:rPr>
        <w:t xml:space="preserve">public dividend capital</w:t>
      </w:r>
    </w:p>
    <w:p>
      <w:pPr>
        <w:ind w:right="576" w:left="0" w:firstLine="0"/>
        <w:spacing w:before="72" w:after="0" w:line="268" w:lineRule="auto"/>
        <w:jc w:val="both"/>
        <w:rPr>
          <w:color w:val="#9B3D45"/>
          <w:sz w:val="8"/>
          <w:lang w:val="en-US"/>
          <w:spacing w:val="1"/>
          <w:w w:val="110"/>
          <w:strike w:val="false"/>
          <w:vertAlign w:val="baseline"/>
          <w:rFonts w:ascii="Verdana" w:hAnsi="Verdana"/>
        </w:rPr>
      </w:pPr>
      <w:r>
        <w:rPr>
          <w:color w:val="#9B3D45"/>
          <w:sz w:val="8"/>
          <w:lang w:val="en-US"/>
          <w:spacing w:val="1"/>
          <w:w w:val="110"/>
          <w:strike w:val="false"/>
          <w:vertAlign w:val="baseline"/>
          <w:rFonts w:ascii="Verdana" w:hAnsi="Verdana"/>
        </w:rPr>
        <w:t xml:space="preserve">7.6.5</w:t>
      </w:r>
      <w:r>
        <w:rPr>
          <w:color w:val="#000000"/>
          <w:sz w:val="9"/>
          <w:lang w:val="en-US"/>
          <w:spacing w:val="1"/>
          <w:w w:val="100"/>
          <w:strike w:val="false"/>
          <w:vertAlign w:val="baseline"/>
          <w:rFonts w:ascii="Tahoma" w:hAnsi="Tahoma"/>
        </w:rPr>
        <w:t xml:space="preserve"> In practice NDPBs always operate with some independence and are not under </w:t>
      </w:r>
      <w:r>
        <w:rPr>
          <w:color w:val="#000000"/>
          <w:sz w:val="9"/>
          <w:lang w:val="en-US"/>
          <w:spacing w:val="0"/>
          <w:w w:val="100"/>
          <w:strike w:val="false"/>
          <w:vertAlign w:val="baseline"/>
          <w:rFonts w:ascii="Tahoma" w:hAnsi="Tahoma"/>
        </w:rPr>
        <w:t xml:space="preserve">day-to-day ministerial control. Nevertheless, ministers are ultimately accountable to parliament for NDPBs' efficiency and effectiveness. This is because ministers: are </w:t>
      </w:r>
      <w:r>
        <w:rPr>
          <w:color w:val="#000000"/>
          <w:sz w:val="9"/>
          <w:lang w:val="en-US"/>
          <w:spacing w:val="1"/>
          <w:w w:val="100"/>
          <w:strike w:val="false"/>
          <w:vertAlign w:val="baseline"/>
          <w:rFonts w:ascii="Tahoma" w:hAnsi="Tahoma"/>
        </w:rPr>
        <w:t xml:space="preserve">responsible for NDPBs' founding legislation; have influence over NDPBs' strategic direction; (usually) appoint their boards; and retain the ultimate sanction of winding </w:t>
      </w:r>
      <w:r>
        <w:rPr>
          <w:color w:val="#000000"/>
          <w:sz w:val="9"/>
          <w:lang w:val="en-US"/>
          <w:spacing w:val="0"/>
          <w:w w:val="100"/>
          <w:strike w:val="false"/>
          <w:vertAlign w:val="baseline"/>
          <w:rFonts w:ascii="Tahoma" w:hAnsi="Tahoma"/>
        </w:rPr>
        <w:t xml:space="preserve">up unsatisfactory NDPBs.</w:t>
      </w:r>
    </w:p>
    <w:p>
      <w:pPr>
        <w:ind w:right="0" w:left="0" w:firstLine="0"/>
        <w:spacing w:before="72" w:after="0" w:line="240" w:lineRule="auto"/>
        <w:jc w:val="left"/>
        <w:rPr>
          <w:b w:val="true"/>
          <w:color w:val="#AA0D1B"/>
          <w:sz w:val="13"/>
          <w:lang w:val="en-US"/>
          <w:spacing w:val="-8"/>
          <w:w w:val="100"/>
          <w:strike w:val="false"/>
          <w:vertAlign w:val="baseline"/>
          <w:rFonts w:ascii="Tahoma" w:hAnsi="Tahoma"/>
        </w:rPr>
      </w:pPr>
      <w:r>
        <w:rPr>
          <w:b w:val="true"/>
          <w:color w:val="#AA0D1B"/>
          <w:sz w:val="13"/>
          <w:lang w:val="en-US"/>
          <w:spacing w:val="-8"/>
          <w:w w:val="100"/>
          <w:strike w:val="false"/>
          <w:vertAlign w:val="baseline"/>
          <w:rFonts w:ascii="Tahoma" w:hAnsi="Tahoma"/>
        </w:rPr>
        <w:t xml:space="preserve">7.7 Public corporations</w:t>
      </w:r>
    </w:p>
    <w:p>
      <w:pPr>
        <w:ind w:right="576" w:left="0" w:firstLine="0"/>
        <w:spacing w:before="36" w:after="0" w:line="268" w:lineRule="auto"/>
        <w:jc w:val="left"/>
        <w:rPr>
          <w:color w:val="#9B3D45"/>
          <w:sz w:val="8"/>
          <w:lang w:val="en-US"/>
          <w:spacing w:val="1"/>
          <w:w w:val="110"/>
          <w:strike w:val="false"/>
          <w:vertAlign w:val="baseline"/>
          <w:rFonts w:ascii="Verdana" w:hAnsi="Verdana"/>
        </w:rPr>
      </w:pPr>
      <w:r>
        <w:rPr>
          <w:color w:val="#9B3D45"/>
          <w:sz w:val="8"/>
          <w:lang w:val="en-US"/>
          <w:spacing w:val="1"/>
          <w:w w:val="110"/>
          <w:strike w:val="false"/>
          <w:vertAlign w:val="baseline"/>
          <w:rFonts w:ascii="Verdana" w:hAnsi="Verdana"/>
        </w:rPr>
        <w:t xml:space="preserve">7.7.1</w:t>
      </w:r>
      <w:r>
        <w:rPr>
          <w:color w:val="#000000"/>
          <w:sz w:val="9"/>
          <w:lang w:val="en-US"/>
          <w:spacing w:val="1"/>
          <w:w w:val="100"/>
          <w:strike w:val="false"/>
          <w:vertAlign w:val="baseline"/>
          <w:rFonts w:ascii="Tahoma" w:hAnsi="Tahoma"/>
        </w:rPr>
        <w:t xml:space="preserve"> Some departments own controlling shareholdings in public corporations or Companies Act companies, perhaps (but not necessarily) as a step toward disposal. </w:t>
      </w:r>
      <w:r>
        <w:rPr>
          <w:color w:val="#000000"/>
          <w:sz w:val="9"/>
          <w:lang w:val="en-US"/>
          <w:spacing w:val="2"/>
          <w:w w:val="100"/>
          <w:strike w:val="false"/>
          <w:vertAlign w:val="baseline"/>
          <w:rFonts w:ascii="Tahoma" w:hAnsi="Tahoma"/>
        </w:rPr>
        <w:t xml:space="preserve">Public corporations' powers are usually defined in statute; but otherwise all the disciplines of corporate legislation apply. UKGI, which specialism in strategic </w:t>
      </w:r>
      <w:r>
        <w:rPr>
          <w:color w:val="#000000"/>
          <w:sz w:val="9"/>
          <w:lang w:val="en-US"/>
          <w:spacing w:val="3"/>
          <w:w w:val="100"/>
          <w:strike w:val="false"/>
          <w:vertAlign w:val="baseline"/>
          <w:rFonts w:ascii="Tahoma" w:hAnsi="Tahoma"/>
        </w:rPr>
        <w:t xml:space="preserve">management of corporates, may be a good way of managing departments' </w:t>
      </w:r>
      <w:r>
        <w:rPr>
          <w:color w:val="#000000"/>
          <w:sz w:val="9"/>
          <w:lang w:val="en-US"/>
          <w:spacing w:val="0"/>
          <w:w w:val="100"/>
          <w:strike w:val="false"/>
          <w:vertAlign w:val="baseline"/>
          <w:rFonts w:ascii="Tahoma" w:hAnsi="Tahoma"/>
        </w:rPr>
        <w:t xml:space="preserve">responsibilities as shareholders.</w:t>
      </w:r>
    </w:p>
    <w:p>
      <w:pPr>
        <w:ind w:right="576" w:left="0" w:firstLine="0"/>
        <w:spacing w:before="72" w:after="0" w:line="268" w:lineRule="auto"/>
        <w:jc w:val="left"/>
        <w:rPr>
          <w:color w:val="#9B3D45"/>
          <w:sz w:val="8"/>
          <w:lang w:val="en-US"/>
          <w:spacing w:val="2"/>
          <w:w w:val="110"/>
          <w:strike w:val="false"/>
          <w:vertAlign w:val="baseline"/>
          <w:rFonts w:ascii="Verdana" w:hAnsi="Verdana"/>
        </w:rPr>
      </w:pPr>
      <w:r>
        <w:rPr>
          <w:color w:val="#9B3D45"/>
          <w:sz w:val="8"/>
          <w:lang w:val="en-US"/>
          <w:spacing w:val="2"/>
          <w:w w:val="110"/>
          <w:strike w:val="false"/>
          <w:vertAlign w:val="baseline"/>
          <w:rFonts w:ascii="Verdana" w:hAnsi="Verdana"/>
        </w:rPr>
        <w:t xml:space="preserve">7.7.2</w:t>
      </w:r>
      <w:r>
        <w:rPr>
          <w:color w:val="#000000"/>
          <w:sz w:val="9"/>
          <w:lang w:val="en-US"/>
          <w:spacing w:val="2"/>
          <w:w w:val="100"/>
          <w:strike w:val="false"/>
          <w:vertAlign w:val="baseline"/>
          <w:rFonts w:ascii="Tahoma" w:hAnsi="Tahoma"/>
        </w:rPr>
        <w:t xml:space="preserve"> Sponsor departments should define any contractual relationship with a corporate in a framework document adapted to suit the corporate context while </w:t>
      </w:r>
      <w:r>
        <w:rPr>
          <w:color w:val="#000000"/>
          <w:sz w:val="9"/>
          <w:lang w:val="en-US"/>
          <w:spacing w:val="1"/>
          <w:w w:val="100"/>
          <w:strike w:val="false"/>
          <w:vertAlign w:val="baseline"/>
          <w:rFonts w:ascii="Tahoma" w:hAnsi="Tahoma"/>
        </w:rPr>
        <w:t xml:space="preserve">delivering public sector disciplines. The financial performance expected should give </w:t>
      </w:r>
      <w:r>
        <w:rPr>
          <w:color w:val="#000000"/>
          <w:sz w:val="9"/>
          <w:lang w:val="en-US"/>
          <w:spacing w:val="3"/>
          <w:w w:val="100"/>
          <w:strike w:val="false"/>
          <w:vertAlign w:val="baseline"/>
          <w:rFonts w:ascii="Tahoma" w:hAnsi="Tahoma"/>
        </w:rPr>
        <w:t xml:space="preserve">the shareholder department a fair return on the public funds invested in the </w:t>
      </w:r>
      <w:r>
        <w:rPr>
          <w:color w:val="#000000"/>
          <w:sz w:val="9"/>
          <w:lang w:val="en-US"/>
          <w:spacing w:val="1"/>
          <w:w w:val="100"/>
          <w:strike w:val="false"/>
          <w:vertAlign w:val="baseline"/>
          <w:rFonts w:ascii="Tahoma" w:hAnsi="Tahoma"/>
        </w:rPr>
        <w:t xml:space="preserve">business. Box 7.5 offers suggestions. This approach may also be appropriate for a trading fund, especially if it is to become a Companies Act company in time.</w:t>
      </w:r>
    </w:p>
    <w:p>
      <w:pPr>
        <w:ind w:right="576" w:left="0" w:firstLine="0"/>
        <w:spacing w:before="72" w:after="0" w:line="268" w:lineRule="auto"/>
        <w:jc w:val="both"/>
        <w:rPr>
          <w:color w:val="#9B3D45"/>
          <w:sz w:val="8"/>
          <w:lang w:val="en-US"/>
          <w:spacing w:val="0"/>
          <w:w w:val="110"/>
          <w:strike w:val="false"/>
          <w:vertAlign w:val="baseline"/>
          <w:rFonts w:ascii="Verdana" w:hAnsi="Verdana"/>
        </w:rPr>
      </w:pPr>
      <w:r>
        <w:rPr>
          <w:color w:val="#9B3D45"/>
          <w:sz w:val="8"/>
          <w:lang w:val="en-US"/>
          <w:spacing w:val="0"/>
          <w:w w:val="110"/>
          <w:strike w:val="false"/>
          <w:vertAlign w:val="baseline"/>
          <w:rFonts w:ascii="Verdana" w:hAnsi="Verdana"/>
        </w:rPr>
        <w:t xml:space="preserve">7.7.3</w:t>
      </w:r>
      <w:r>
        <w:rPr>
          <w:color w:val="#000000"/>
          <w:sz w:val="9"/>
          <w:lang w:val="en-US"/>
          <w:spacing w:val="0"/>
          <w:w w:val="100"/>
          <w:strike w:val="false"/>
          <w:vertAlign w:val="baseline"/>
          <w:rFonts w:ascii="Tahoma" w:hAnsi="Tahoma"/>
        </w:rPr>
        <w:t xml:space="preserve"> A shareholder department may also use a company it owns as a contractor or supplier of goods or services. It is a good discipline to separate decisions about the company's commercial performance from its contractual commitments, so avoiding </w:t>
      </w:r>
      <w:r>
        <w:rPr>
          <w:color w:val="#000000"/>
          <w:sz w:val="9"/>
          <w:lang w:val="en-US"/>
          <w:spacing w:val="1"/>
          <w:w w:val="100"/>
          <w:strike w:val="false"/>
          <w:vertAlign w:val="baseline"/>
          <w:rFonts w:ascii="Tahoma" w:hAnsi="Tahoma"/>
        </w:rPr>
        <w:t xml:space="preserve">confusion about objectives. So there should be clear arm's length contracts between the company and its customer departments defining the customer-supplier</w:t>
      </w:r>
    </w:p>
    <w:p>
      <w:pPr>
        <w:ind w:right="0" w:left="0" w:firstLine="0"/>
        <w:spacing w:before="0" w:after="0" w:line="240" w:lineRule="auto"/>
        <w:jc w:val="left"/>
        <w:rPr>
          <w:color w:val="#000000"/>
          <w:sz w:val="9"/>
          <w:lang w:val="en-US"/>
          <w:spacing w:val="0"/>
          <w:w w:val="100"/>
          <w:strike w:val="false"/>
          <w:vertAlign w:val="baseline"/>
          <w:rFonts w:ascii="Tahoma" w:hAnsi="Tahoma"/>
        </w:rPr>
      </w:pPr>
      <w:r>
        <w:rPr>
          <w:color w:val="#000000"/>
          <w:sz w:val="9"/>
          <w:lang w:val="en-US"/>
          <w:spacing w:val="0"/>
          <w:w w:val="100"/>
          <w:strike w:val="false"/>
          <w:vertAlign w:val="baseline"/>
          <w:rFonts w:ascii="Tahoma" w:hAnsi="Tahoma"/>
        </w:rPr>
        <w:t xml:space="preserve">relationship(s).</w:t>
      </w:r>
    </w:p>
    <w:sectPr>
      <w:pgSz w:w="5010" w:h="7086" w:orient="portrait"/>
      <w:type w:val="nextPage"/>
      <w:textDirection w:val="lrTb"/>
      <w:pgMar w:bottom="100" w:top="400" w:right="325" w:left="585" w:header="720" w:footer="720"/>
      <w:titlePg w:val="false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abstractNum w:abstractNumId="1">
    <w:lvl w:ilvl="0">
      <w:numFmt w:val="bullet"/>
      <w:lvlText w:val=""/>
      <w:start w:val="1"/>
      <w:lvlJc w:val="left"/>
      <w:pPr>
        <w:ind w:left="720"/>
        <w:tabs>
          <w:tab w:val="decimal" w:pos="216"/>
        </w:tabs>
      </w:pPr>
      <w:rPr>
        <w:color w:val="#000000"/>
        <w:sz w:val="9"/>
        <w:lang w:val="en-US"/>
        <w:spacing w:val="3"/>
        <w:w w:val="100"/>
        <w:strike w:val="false"/>
        <w:vertAlign w:val="baseline"/>
        <w:rFonts w:ascii="Symbol" w:hAnsi="Symbol"/>
      </w:rPr>
    </w:lvl>
  </w:abstractNum>
  <w:num w:numId="2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compat>
    <w:useFELayout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numbering" Target="/word/numbering.xml" Id="drId3" /><Relationship Type="http://schemas.openxmlformats.org/officeDocument/2006/relationships/settings" Target="/word/settings.xml" Id="drId1" /><Relationship Type="http://schemas.openxmlformats.org/officeDocument/2006/relationships/styles" Target="/word/styles.xml" Id="drId0" /><Relationship Type="http://schemas.openxmlformats.org/wordprocessingml/2006/fontTable" Target="/word/fontTable.xml" Id="drId2" /></Relationships>
</file>